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微软雅黑" w:hAnsi="微软雅黑" w:eastAsia="微软雅黑" w:cs="微软雅黑"/>
          <w:sz w:val="52"/>
          <w:szCs w:val="52"/>
          <w:lang w:eastAsia="zh-CN"/>
        </w:rPr>
      </w:pPr>
      <w:r>
        <w:rPr>
          <w:rFonts w:hint="eastAsia" w:ascii="微软雅黑" w:hAnsi="微软雅黑" w:eastAsia="微软雅黑" w:cs="微软雅黑"/>
          <w:sz w:val="52"/>
          <w:szCs w:val="52"/>
          <w:lang w:eastAsia="zh-CN"/>
        </w:rPr>
        <w:drawing>
          <wp:inline distT="0" distB="0" distL="114300" distR="114300">
            <wp:extent cx="1453515" cy="356235"/>
            <wp:effectExtent l="0" t="0" r="13335" b="5715"/>
            <wp:docPr id="3" name="图片 3" descr="微信图片_20220819174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08191747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53515" cy="35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val="en-US" w:eastAsia="zh-CN"/>
        </w:rPr>
        <w:t xml:space="preserve"> LJ-GM</w:t>
      </w: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  <w:t>系列</w:t>
      </w:r>
    </w:p>
    <w:p>
      <w:pPr>
        <w:shd w:val="clear" w:color="auto" w:fill="auto"/>
        <w:ind w:right="-960" w:rightChars="-400" w:firstLine="1566" w:firstLineChars="300"/>
        <w:jc w:val="both"/>
        <w:rPr>
          <w:rFonts w:hint="eastAsia" w:ascii="黑体" w:hAnsi="黑体" w:eastAsia="黑体" w:cs="黑体"/>
          <w:b/>
          <w:bCs/>
          <w:sz w:val="52"/>
          <w:szCs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  <w:t>数显式钢轨磨耗测量尺</w:t>
      </w:r>
    </w:p>
    <w:p>
      <w:pPr>
        <w:shd w:val="clear" w:color="auto" w:fill="auto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shd w:val="clear" w:color="auto" w:fill="auto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shd w:val="clear" w:color="auto" w:fill="auto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84"/>
          <w:szCs w:val="84"/>
        </w:rPr>
        <w:t>使用说明书</w:t>
      </w:r>
    </w:p>
    <w:p>
      <w:pPr>
        <w:shd w:val="clear" w:color="auto" w:fill="auto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shd w:val="clear" w:color="auto" w:fill="auto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ind w:firstLine="880" w:firstLineChars="200"/>
        <w:jc w:val="both"/>
        <w:rPr>
          <w:rFonts w:hint="eastAsia" w:ascii="宋体" w:hAnsi="宋体"/>
          <w:spacing w:val="40"/>
          <w:kern w:val="24"/>
          <w:sz w:val="36"/>
          <w:szCs w:val="36"/>
          <w:lang w:val="en-US" w:eastAsia="zh-CN"/>
        </w:rPr>
      </w:pPr>
    </w:p>
    <w:p>
      <w:pPr>
        <w:ind w:firstLine="880" w:firstLineChars="200"/>
        <w:jc w:val="both"/>
        <w:rPr>
          <w:rFonts w:hint="eastAsia" w:ascii="宋体" w:hAnsi="宋体"/>
          <w:spacing w:val="40"/>
          <w:kern w:val="24"/>
          <w:sz w:val="36"/>
          <w:szCs w:val="36"/>
          <w:lang w:val="en-US" w:eastAsia="zh-CN"/>
        </w:rPr>
      </w:pPr>
    </w:p>
    <w:p>
      <w:pPr>
        <w:ind w:firstLine="880" w:firstLineChars="200"/>
        <w:jc w:val="both"/>
        <w:rPr>
          <w:rFonts w:hint="eastAsia" w:ascii="宋体" w:hAnsi="宋体"/>
          <w:spacing w:val="40"/>
          <w:kern w:val="24"/>
          <w:sz w:val="36"/>
          <w:szCs w:val="36"/>
          <w:lang w:val="en-US" w:eastAsia="zh-CN"/>
        </w:rPr>
      </w:pPr>
    </w:p>
    <w:p>
      <w:pPr>
        <w:ind w:firstLine="880" w:firstLineChars="200"/>
        <w:jc w:val="both"/>
        <w:rPr>
          <w:rFonts w:hint="eastAsia" w:ascii="宋体" w:hAnsi="宋体"/>
          <w:spacing w:val="40"/>
          <w:kern w:val="24"/>
          <w:sz w:val="36"/>
          <w:szCs w:val="36"/>
          <w:lang w:val="en-US" w:eastAsia="zh-CN"/>
        </w:rPr>
      </w:pPr>
    </w:p>
    <w:p>
      <w:pPr>
        <w:ind w:firstLine="880" w:firstLineChars="200"/>
        <w:jc w:val="both"/>
        <w:rPr>
          <w:rFonts w:hint="eastAsia" w:ascii="宋体" w:hAnsi="宋体"/>
          <w:spacing w:val="40"/>
          <w:kern w:val="24"/>
          <w:sz w:val="36"/>
          <w:szCs w:val="36"/>
          <w:lang w:val="en-US" w:eastAsia="zh-CN"/>
        </w:rPr>
      </w:pPr>
    </w:p>
    <w:p>
      <w:pPr>
        <w:ind w:firstLine="880" w:firstLineChars="200"/>
        <w:jc w:val="both"/>
        <w:rPr>
          <w:rFonts w:hint="eastAsia" w:ascii="宋体" w:hAnsi="宋体"/>
          <w:spacing w:val="40"/>
          <w:kern w:val="24"/>
          <w:sz w:val="36"/>
          <w:szCs w:val="36"/>
          <w:lang w:val="en-US" w:eastAsia="zh-CN"/>
        </w:rPr>
      </w:pPr>
    </w:p>
    <w:p>
      <w:pPr>
        <w:ind w:firstLine="880" w:firstLineChars="200"/>
        <w:jc w:val="both"/>
        <w:rPr>
          <w:rFonts w:hint="eastAsia" w:ascii="宋体" w:hAnsi="宋体"/>
          <w:spacing w:val="40"/>
          <w:kern w:val="24"/>
          <w:sz w:val="36"/>
          <w:szCs w:val="36"/>
          <w:lang w:val="en-US" w:eastAsia="zh-CN"/>
        </w:rPr>
      </w:pPr>
    </w:p>
    <w:p>
      <w:pPr>
        <w:ind w:firstLine="880" w:firstLineChars="200"/>
        <w:jc w:val="both"/>
        <w:rPr>
          <w:rFonts w:hint="eastAsia" w:ascii="宋体" w:hAnsi="宋体"/>
          <w:spacing w:val="40"/>
          <w:kern w:val="24"/>
          <w:sz w:val="36"/>
          <w:szCs w:val="36"/>
          <w:lang w:val="en-US" w:eastAsia="zh-CN"/>
        </w:rPr>
      </w:pPr>
    </w:p>
    <w:p>
      <w:pPr>
        <w:ind w:firstLine="880" w:firstLineChars="200"/>
        <w:jc w:val="both"/>
        <w:rPr>
          <w:rFonts w:hint="eastAsia" w:ascii="宋体" w:hAnsi="宋体"/>
          <w:spacing w:val="40"/>
          <w:kern w:val="24"/>
          <w:sz w:val="36"/>
          <w:szCs w:val="36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spacing w:val="40"/>
          <w:kern w:val="24"/>
          <w:sz w:val="36"/>
          <w:szCs w:val="36"/>
          <w:lang w:val="en-US" w:eastAsia="zh-CN"/>
        </w:rPr>
        <w:t>锦州市瑞达铁路机械制造有限公司</w:t>
      </w:r>
    </w:p>
    <w:p>
      <w:pPr>
        <w:pStyle w:val="1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963"/>
        </w:tabs>
        <w:bidi w:val="0"/>
        <w:spacing w:before="0" w:after="0" w:line="512" w:lineRule="exact"/>
        <w:ind w:right="0" w:rightChars="0"/>
        <w:jc w:val="both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  <w:t>简述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12" w:lineRule="exact"/>
        <w:ind w:left="0" w:right="0" w:firstLine="482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zh-CN" w:bidi="en-US"/>
        </w:rPr>
        <w:t>LJ-GM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 xml:space="preserve">系列数显式钢轨磨耗测量尺(以下简称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>“磨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耗尺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")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用于测量钢轨垂直磨耗和侧面磨耗量。釆 用数显读数，合理的设计使它具有重量轻、操作方便、读数直观的特点。</w:t>
      </w:r>
    </w:p>
    <w:p>
      <w:pPr>
        <w:pStyle w:val="10"/>
        <w:keepNext w:val="0"/>
        <w:keepLines w:val="0"/>
        <w:widowControl w:val="0"/>
        <w:shd w:val="clear" w:color="auto" w:fill="auto"/>
        <w:tabs>
          <w:tab w:val="left" w:pos="963"/>
        </w:tabs>
        <w:bidi w:val="0"/>
        <w:spacing w:before="0" w:after="0" w:line="512" w:lineRule="exact"/>
        <w:ind w:right="0"/>
        <w:jc w:val="both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</w:pPr>
      <w:bookmarkStart w:id="0" w:name="bookmark1"/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  <w:t>二</w:t>
      </w:r>
      <w:bookmarkEnd w:id="0"/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  <w:t>、结构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12" w:lineRule="exact"/>
        <w:ind w:left="0" w:right="0" w:firstLine="482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zh-CN" w:bidi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磨耗尺主要由底板、磁性定位块、垂磨测尺、侧 磨测尺、数显读数装置、游标对零装置、手柄等组成。结构见图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zh-CN" w:bidi="en-US"/>
        </w:rPr>
        <w:t>1。</w:t>
      </w:r>
    </w:p>
    <w:p>
      <w:pPr>
        <w:pStyle w:val="10"/>
        <w:keepNext w:val="0"/>
        <w:keepLines w:val="0"/>
        <w:widowControl w:val="0"/>
        <w:shd w:val="clear" w:color="auto" w:fill="auto"/>
        <w:tabs>
          <w:tab w:val="left" w:pos="963"/>
        </w:tabs>
        <w:bidi w:val="0"/>
        <w:spacing w:before="0" w:after="0" w:line="512" w:lineRule="exact"/>
        <w:ind w:right="0"/>
        <w:jc w:val="both"/>
        <w:rPr>
          <w:rFonts w:hint="default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zh-CN" w:bidi="en-US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  <w:t>三、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  <w:tab/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  <w:t>主要技术指标见下表</w:t>
      </w:r>
    </w:p>
    <w:tbl>
      <w:tblPr>
        <w:tblStyle w:val="2"/>
        <w:tblpPr w:leftFromText="180" w:rightFromText="180" w:vertAnchor="text" w:horzAnchor="page" w:tblpX="1911" w:tblpY="197"/>
        <w:tblOverlap w:val="never"/>
        <w:tblW w:w="4779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06"/>
        <w:gridCol w:w="1113"/>
        <w:gridCol w:w="1109"/>
        <w:gridCol w:w="1251"/>
      </w:tblGrid>
      <w:tr>
        <w:trPr>
          <w:trHeight w:val="780" w:hRule="exact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bookmarkStart w:id="1" w:name="bookmark2"/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zh-TW" w:eastAsia="zh-TW" w:bidi="zh-TW"/>
              </w:rPr>
              <w:t>型号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zh-TW" w:eastAsia="zh-TW" w:bidi="zh-TW"/>
              </w:rPr>
              <w:t>测量范围</w:t>
            </w:r>
          </w:p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en-US" w:bidi="en-US"/>
              </w:rPr>
              <w:t>(mm)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zh-TW" w:eastAsia="zh-TW" w:bidi="zh-TW"/>
              </w:rPr>
              <w:t>分度值</w:t>
            </w:r>
          </w:p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6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en-US" w:bidi="en-US"/>
              </w:rPr>
              <w:t>(mm)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zh-TW" w:eastAsia="zh-TW" w:bidi="zh-TW"/>
              </w:rPr>
              <w:t>示值误差</w:t>
            </w:r>
          </w:p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en-US" w:bidi="en-US"/>
              </w:rPr>
              <w:t>(mm)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7" w:hRule="exact"/>
        </w:trPr>
        <w:tc>
          <w:tcPr>
            <w:tcW w:w="130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 w:bidi="en-US"/>
              </w:rPr>
            </w:pPr>
          </w:p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 w:bidi="en-US"/>
              </w:rPr>
              <w:t>LJ-GM-43</w:t>
            </w:r>
          </w:p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 w:bidi="en-US"/>
              </w:rPr>
              <w:t>LJ-GM-50</w:t>
            </w:r>
          </w:p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 w:bidi="en-US"/>
              </w:rPr>
              <w:t>LJ-GM-60</w:t>
            </w:r>
          </w:p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 w:bidi="en-US"/>
              </w:rPr>
              <w:t>LJ-GM-75</w:t>
            </w:r>
          </w:p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zh-TW" w:eastAsia="zh-TW" w:bidi="zh-TW"/>
              </w:rPr>
              <w:t>垂磨0〜25</w:t>
            </w:r>
          </w:p>
        </w:tc>
        <w:tc>
          <w:tcPr>
            <w:tcW w:w="110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zh-TW" w:eastAsia="zh-TW" w:bidi="zh-TW"/>
              </w:rPr>
              <w:t>数显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en-US" w:bidi="en-US"/>
              </w:rPr>
              <w:t>0.01</w:t>
            </w:r>
          </w:p>
        </w:tc>
        <w:tc>
          <w:tcPr>
            <w:tcW w:w="12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zh-TW" w:eastAsia="zh-TW" w:bidi="zh-TW"/>
              </w:rPr>
              <w:t xml:space="preserve">≤±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en-US" w:bidi="en-US"/>
              </w:rPr>
              <w:t>0.15</w:t>
            </w:r>
          </w:p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160" w:right="0" w:firstLine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zh-TW" w:eastAsia="zh-TW" w:bidi="zh-TW"/>
              </w:rPr>
              <w:t>(符合铁道部 规程要求)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8" w:hRule="exact"/>
        </w:trPr>
        <w:tc>
          <w:tcPr>
            <w:tcW w:w="1306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zh-TW" w:eastAsia="zh-TW" w:bidi="zh-TW"/>
              </w:rPr>
              <w:t>侧磨0〜25</w:t>
            </w:r>
          </w:p>
        </w:tc>
        <w:tc>
          <w:tcPr>
            <w:tcW w:w="1109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bookmarkEnd w:id="1"/>
    </w:tbl>
    <w:p>
      <w:pPr>
        <w:pStyle w:val="10"/>
        <w:keepNext w:val="0"/>
        <w:keepLines w:val="0"/>
        <w:widowControl w:val="0"/>
        <w:shd w:val="clear" w:color="auto" w:fill="auto"/>
        <w:tabs>
          <w:tab w:val="left" w:pos="963"/>
        </w:tabs>
        <w:bidi w:val="0"/>
        <w:spacing w:before="0" w:after="0" w:line="512" w:lineRule="exact"/>
        <w:ind w:right="0"/>
        <w:jc w:val="both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</w:pPr>
    </w:p>
    <w:p>
      <w:pPr>
        <w:pStyle w:val="10"/>
        <w:keepNext w:val="0"/>
        <w:keepLines w:val="0"/>
        <w:widowControl w:val="0"/>
        <w:shd w:val="clear" w:color="auto" w:fill="auto"/>
        <w:tabs>
          <w:tab w:val="left" w:pos="963"/>
        </w:tabs>
        <w:bidi w:val="0"/>
        <w:spacing w:before="0" w:after="0" w:line="512" w:lineRule="exact"/>
        <w:ind w:right="0"/>
        <w:jc w:val="both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</w:pPr>
    </w:p>
    <w:p>
      <w:pPr>
        <w:pStyle w:val="10"/>
        <w:keepNext w:val="0"/>
        <w:keepLines w:val="0"/>
        <w:widowControl w:val="0"/>
        <w:shd w:val="clear" w:color="auto" w:fill="auto"/>
        <w:tabs>
          <w:tab w:val="left" w:pos="963"/>
        </w:tabs>
        <w:bidi w:val="0"/>
        <w:spacing w:before="0" w:after="0" w:line="512" w:lineRule="exact"/>
        <w:ind w:right="0"/>
        <w:jc w:val="both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</w:pPr>
    </w:p>
    <w:p>
      <w:pPr>
        <w:pStyle w:val="10"/>
        <w:keepNext w:val="0"/>
        <w:keepLines w:val="0"/>
        <w:widowControl w:val="0"/>
        <w:shd w:val="clear" w:color="auto" w:fill="auto"/>
        <w:tabs>
          <w:tab w:val="left" w:pos="963"/>
        </w:tabs>
        <w:bidi w:val="0"/>
        <w:spacing w:before="0" w:after="0" w:line="512" w:lineRule="exact"/>
        <w:ind w:right="0"/>
        <w:jc w:val="both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</w:pPr>
    </w:p>
    <w:p>
      <w:pPr>
        <w:pStyle w:val="10"/>
        <w:keepNext w:val="0"/>
        <w:keepLines w:val="0"/>
        <w:widowControl w:val="0"/>
        <w:shd w:val="clear" w:color="auto" w:fill="auto"/>
        <w:tabs>
          <w:tab w:val="left" w:pos="963"/>
        </w:tabs>
        <w:bidi w:val="0"/>
        <w:spacing w:before="0" w:after="0" w:line="512" w:lineRule="exact"/>
        <w:ind w:right="0"/>
        <w:jc w:val="both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</w:pPr>
    </w:p>
    <w:p>
      <w:pPr>
        <w:pStyle w:val="10"/>
        <w:keepNext w:val="0"/>
        <w:keepLines w:val="0"/>
        <w:widowControl w:val="0"/>
        <w:shd w:val="clear" w:color="auto" w:fill="auto"/>
        <w:tabs>
          <w:tab w:val="left" w:pos="963"/>
        </w:tabs>
        <w:bidi w:val="0"/>
        <w:spacing w:before="0" w:after="0" w:line="512" w:lineRule="exact"/>
        <w:ind w:right="0"/>
        <w:jc w:val="both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</w:pPr>
    </w:p>
    <w:p>
      <w:pPr>
        <w:pStyle w:val="10"/>
        <w:keepNext w:val="0"/>
        <w:keepLines w:val="0"/>
        <w:widowControl w:val="0"/>
        <w:shd w:val="clear" w:color="auto" w:fill="auto"/>
        <w:tabs>
          <w:tab w:val="left" w:pos="963"/>
        </w:tabs>
        <w:bidi w:val="0"/>
        <w:spacing w:before="0" w:after="0" w:line="512" w:lineRule="exact"/>
        <w:ind w:right="0"/>
        <w:jc w:val="both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</w:rPr>
        <w:t>四、操作使用方法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ind w:right="0" w:firstLine="42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8"/>
          <w:szCs w:val="28"/>
          <w:lang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-414655</wp:posOffset>
            </wp:positionH>
            <wp:positionV relativeFrom="paragraph">
              <wp:posOffset>548005</wp:posOffset>
            </wp:positionV>
            <wp:extent cx="5334000" cy="3655060"/>
            <wp:effectExtent l="0" t="0" r="0" b="2540"/>
            <wp:wrapSquare wrapText="bothSides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65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8"/>
          <w:szCs w:val="28"/>
          <w:lang w:val="en-US" w:eastAsia="en-US"/>
        </w:rPr>
        <w:t>—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8"/>
          <w:szCs w:val="28"/>
        </w:rPr>
        <w:t>、校对零位</w:t>
      </w:r>
    </w:p>
    <w:p>
      <w:pPr>
        <w:ind w:firstLine="880" w:firstLineChars="200"/>
        <w:jc w:val="both"/>
        <w:rPr>
          <w:rFonts w:hint="eastAsia" w:ascii="宋体" w:hAnsi="宋体"/>
          <w:spacing w:val="40"/>
          <w:kern w:val="24"/>
          <w:sz w:val="36"/>
          <w:szCs w:val="36"/>
          <w:lang w:val="en-US" w:eastAsia="zh-CN"/>
        </w:rPr>
      </w:pPr>
    </w:p>
    <w:p>
      <w:pPr>
        <w:ind w:firstLine="880" w:firstLineChars="200"/>
        <w:jc w:val="both"/>
        <w:rPr>
          <w:rFonts w:hint="eastAsia" w:ascii="宋体" w:hAnsi="宋体"/>
          <w:spacing w:val="40"/>
          <w:kern w:val="24"/>
          <w:sz w:val="36"/>
          <w:szCs w:val="36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ind w:right="0"/>
        <w:jc w:val="center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图1 LJ-GM型数显钢轨磨耗测量尺</w:t>
      </w: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495" w:lineRule="exact"/>
        <w:ind w:left="0" w:right="0" w:firstLine="420" w:firstLine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将垂磨测尺、侧磨测尺的游标对零装置的游标“0”线对准，再按动数显读数装置清零键，将显示数字变 为 “0.00”。</w:t>
      </w: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495" w:lineRule="exact"/>
        <w:ind w:left="0" w:right="0" w:firstLine="420" w:firstLine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二、测量钢轨磨耗量</w:t>
      </w: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495" w:lineRule="exact"/>
        <w:ind w:left="0" w:right="0" w:firstLine="420" w:firstLine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握住手柄，将磨耗尺定位在被测钢轨的外侧面， 推动垂磨测尺和侧磨测尺使其测头分别与钢轨上表 面和内侧面接触，此时即可从读数装置中读取钢轨垂 直磨耗和侧面磨耗量。</w:t>
      </w:r>
    </w:p>
    <w:p>
      <w:pPr>
        <w:pStyle w:val="10"/>
        <w:keepNext w:val="0"/>
        <w:keepLines w:val="0"/>
        <w:widowControl w:val="0"/>
        <w:shd w:val="clear" w:color="auto" w:fill="auto"/>
        <w:tabs>
          <w:tab w:val="left" w:pos="963"/>
        </w:tabs>
        <w:bidi w:val="0"/>
        <w:spacing w:before="0" w:after="0" w:line="512" w:lineRule="exact"/>
        <w:ind w:right="0"/>
        <w:jc w:val="both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  <w:lang w:val="en-US" w:eastAsia="en-US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  <w:lang w:val="en-US" w:eastAsia="en-US"/>
        </w:rPr>
        <w:t>五、数显读数装置操作键简介</w:t>
      </w: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495" w:lineRule="exact"/>
        <w:ind w:left="0" w:right="0" w:firstLine="420" w:firstLine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数显读数装置操作键简介见表2；数显读数装置 操作键结构见图2。</w:t>
      </w: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495" w:lineRule="exact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表2数显读数装置操作键简介</w:t>
      </w:r>
    </w:p>
    <w:tbl>
      <w:tblPr>
        <w:tblStyle w:val="2"/>
        <w:tblW w:w="525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58"/>
        <w:gridCol w:w="390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9" w:hRule="exact"/>
          <w:jc w:val="center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</w:rPr>
              <w:t>操作键名称</w:t>
            </w:r>
          </w:p>
        </w:tc>
        <w:tc>
          <w:tcPr>
            <w:tcW w:w="39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</w:rPr>
              <w:t>用途及操作方法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3" w:hRule="exact"/>
          <w:jc w:val="center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en-US" w:bidi="en-US"/>
              </w:rPr>
              <w:t>“OFF/ON”</w:t>
            </w:r>
          </w:p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</w:rPr>
              <w:t>开关键</w:t>
            </w:r>
          </w:p>
        </w:tc>
        <w:tc>
          <w:tcPr>
            <w:tcW w:w="39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</w:rPr>
              <w:t>用 途：打开或关闭电源。 操作方法：按一下此键打开或关闭电源。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9" w:hRule="exact"/>
          <w:jc w:val="center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en-US" w:bidi="en-US"/>
              </w:rPr>
              <w:t>“ZERO”</w:t>
            </w:r>
          </w:p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</w:rPr>
              <w:t>清零键</w:t>
            </w:r>
          </w:p>
        </w:tc>
        <w:tc>
          <w:tcPr>
            <w:tcW w:w="39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670"/>
              </w:tabs>
              <w:bidi w:val="0"/>
              <w:spacing w:before="0" w:after="100" w:line="240" w:lineRule="auto"/>
              <w:ind w:left="0" w:right="0" w:firstLine="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</w:rPr>
              <w:t>用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</w:rPr>
              <w:t>途：将显示数值变为零。</w:t>
            </w:r>
          </w:p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</w:rPr>
              <w:t>操作方法：按一下此键将显示数值变为零。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9" w:hRule="exact"/>
          <w:jc w:val="center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en-US" w:bidi="en-US"/>
              </w:rPr>
              <w:t>“inch/mm”</w:t>
            </w:r>
          </w:p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</w:rPr>
              <w:t>公英制转换键</w:t>
            </w:r>
          </w:p>
        </w:tc>
        <w:tc>
          <w:tcPr>
            <w:tcW w:w="3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w w:val="100"/>
                <w:position w:val="0"/>
                <w:sz w:val="21"/>
                <w:szCs w:val="21"/>
              </w:rPr>
              <w:t>用 途：公英制相互转换。 操作方法：按一下此键将公制、英循环转换。</w:t>
            </w:r>
          </w:p>
        </w:tc>
      </w:tr>
    </w:tbl>
    <w:p>
      <w:pPr>
        <w:widowControl w:val="0"/>
        <w:jc w:val="center"/>
        <w:rPr>
          <w:sz w:val="2"/>
          <w:szCs w:val="2"/>
        </w:rPr>
      </w:pPr>
      <w:r>
        <w:rPr>
          <w:rFonts w:hint="eastAsia" w:eastAsia="宋体"/>
          <w:lang w:val="en-US" w:eastAsia="zh-CN"/>
        </w:rPr>
        <w:t xml:space="preserve">  </w:t>
      </w:r>
      <w:r>
        <w:drawing>
          <wp:inline distT="0" distB="0" distL="114300" distR="114300">
            <wp:extent cx="1713230" cy="1029970"/>
            <wp:effectExtent l="0" t="0" r="1270" b="1778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ut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13230" cy="102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495" w:lineRule="exact"/>
        <w:ind w:left="840" w:leftChars="0" w:right="0" w:firstLine="42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1"/>
          <w:szCs w:val="21"/>
          <w:lang w:val="en-US" w:eastAsia="en-US" w:bidi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1"/>
          <w:szCs w:val="21"/>
          <w:lang w:val="en-US" w:eastAsia="en-US" w:bidi="en-US"/>
        </w:rPr>
        <w:t>图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1"/>
          <w:szCs w:val="21"/>
          <w:lang w:val="zh-CN" w:eastAsia="zh-CN" w:bidi="en-US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1"/>
          <w:szCs w:val="21"/>
          <w:lang w:val="en-US" w:eastAsia="en-US" w:bidi="en-US"/>
        </w:rPr>
        <w:t>数显读数装置操作键</w:t>
      </w:r>
    </w:p>
    <w:p>
      <w:pPr>
        <w:pStyle w:val="10"/>
        <w:keepNext w:val="0"/>
        <w:keepLines w:val="0"/>
        <w:widowControl w:val="0"/>
        <w:shd w:val="clear" w:color="auto" w:fill="auto"/>
        <w:tabs>
          <w:tab w:val="left" w:pos="963"/>
        </w:tabs>
        <w:bidi w:val="0"/>
        <w:spacing w:before="0" w:after="0" w:line="512" w:lineRule="exact"/>
        <w:ind w:right="0"/>
        <w:jc w:val="both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  <w:lang w:val="en-US" w:eastAsia="en-US"/>
        </w:rPr>
      </w:pPr>
      <w:bookmarkStart w:id="2" w:name="bookmark0"/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  <w:lang w:val="en-US" w:eastAsia="en-US"/>
        </w:rPr>
        <w:t>六</w:t>
      </w:r>
      <w:bookmarkEnd w:id="2"/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  <w:lang w:val="en-US" w:eastAsia="en-US"/>
        </w:rPr>
        <w:t>、检定方法</w:t>
      </w: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495" w:lineRule="exact"/>
        <w:ind w:left="0" w:right="0" w:firstLine="420" w:firstLine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按照《钢轨磨耗测量器检定规程》进行检定。</w:t>
      </w:r>
    </w:p>
    <w:p>
      <w:pPr>
        <w:pStyle w:val="10"/>
        <w:keepNext w:val="0"/>
        <w:keepLines w:val="0"/>
        <w:widowControl w:val="0"/>
        <w:shd w:val="clear" w:color="auto" w:fill="auto"/>
        <w:tabs>
          <w:tab w:val="left" w:pos="963"/>
        </w:tabs>
        <w:bidi w:val="0"/>
        <w:spacing w:before="0" w:after="0" w:line="512" w:lineRule="exact"/>
        <w:ind w:right="0"/>
        <w:jc w:val="both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  <w:lang w:val="en-US" w:eastAsia="en-US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  <w:lang w:val="en-US" w:eastAsia="en-US"/>
        </w:rPr>
        <w:t>七、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  <w:lang w:val="en-US" w:eastAsia="en-US"/>
        </w:rPr>
        <w:tab/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8"/>
          <w:szCs w:val="28"/>
          <w:lang w:val="en-US" w:eastAsia="en-US"/>
        </w:rPr>
        <w:t>使用注意事项与保养</w:t>
      </w: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495" w:lineRule="exact"/>
        <w:ind w:left="0" w:right="0" w:firstLine="420" w:firstLine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使用和搬运过程中应避免对各部位的剧烈碰 撞，以免损坏。</w:t>
      </w: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495" w:lineRule="exact"/>
        <w:ind w:left="0" w:right="0" w:firstLine="420" w:firstLine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3" w:name="bookmark3"/>
      <w:bookmarkEnd w:id="3"/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数显部分应避免水等污物进入电路板，以免 损坏电路。</w:t>
      </w:r>
    </w:p>
    <w:p>
      <w:pPr>
        <w:ind w:firstLine="56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</w:pPr>
    </w:p>
    <w:p>
      <w:pPr>
        <w:ind w:firstLine="56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地    址：辽宁省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锦州市凌河区北山里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96-21号</w:t>
      </w:r>
    </w:p>
    <w:p>
      <w:pPr>
        <w:ind w:firstLine="56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邮    编：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121000</w:t>
      </w:r>
    </w:p>
    <w:p>
      <w:pPr>
        <w:ind w:firstLine="56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联 系 人：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史汝敬</w:t>
      </w:r>
    </w:p>
    <w:p>
      <w:pPr>
        <w:ind w:firstLine="56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手    机：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13804165272</w:t>
      </w:r>
    </w:p>
    <w:p>
      <w:pPr>
        <w:ind w:firstLine="56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电子邮箱：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jzrdjx@126.com</w:t>
      </w:r>
    </w:p>
    <w:p>
      <w:p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zh-CN" w:bidi="en-US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 xml:space="preserve">网    址： 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fldChar w:fldCharType="begin"/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instrText xml:space="preserve"> HYPERLINK "http://www.jzrdtl.cn" </w:instrTex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fldChar w:fldCharType="separate"/>
      </w:r>
      <w:r>
        <w:rPr>
          <w:rStyle w:val="4"/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www.</w:t>
      </w:r>
      <w:r>
        <w:rPr>
          <w:rStyle w:val="4"/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jzrdtl</w:t>
      </w:r>
      <w:r>
        <w:rPr>
          <w:rStyle w:val="4"/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.cn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fldChar w:fldCharType="end"/>
      </w:r>
      <w:bookmarkStart w:id="4" w:name="_GoBack"/>
      <w:bookmarkEnd w:id="4"/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/>
        <w:jc w:val="left"/>
        <w:rPr>
          <w:rFonts w:hint="default" w:asciiTheme="minorEastAsia" w:hAnsiTheme="minorEastAsia" w:eastAsiaTheme="minorEastAsia" w:cstheme="minor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zh-CN" w:bidi="en-US"/>
        </w:rPr>
      </w:pPr>
    </w:p>
    <w:sectPr>
      <w:pgSz w:w="8335" w:h="11850"/>
      <w:pgMar w:top="1191" w:right="1752" w:bottom="1191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0C97AD"/>
    <w:multiLevelType w:val="singleLevel"/>
    <w:tmpl w:val="C00C97A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jMTAyNmE1NTY4ZjNjODVlN2ExNWM1MDhmMzRiOTYifQ=="/>
  </w:docVars>
  <w:rsids>
    <w:rsidRoot w:val="5CDC6D58"/>
    <w:rsid w:val="06A937C9"/>
    <w:rsid w:val="0A5B1544"/>
    <w:rsid w:val="14F30B60"/>
    <w:rsid w:val="1EF86385"/>
    <w:rsid w:val="2AD2603D"/>
    <w:rsid w:val="313D7445"/>
    <w:rsid w:val="31710042"/>
    <w:rsid w:val="33043C70"/>
    <w:rsid w:val="3B572A66"/>
    <w:rsid w:val="4E891CC7"/>
    <w:rsid w:val="540015A5"/>
    <w:rsid w:val="54C00E73"/>
    <w:rsid w:val="5CDC6D58"/>
    <w:rsid w:val="619E2F31"/>
    <w:rsid w:val="63A406D0"/>
    <w:rsid w:val="695F151B"/>
    <w:rsid w:val="6CDA0839"/>
    <w:rsid w:val="6FCE7264"/>
    <w:rsid w:val="7CDB29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customStyle="1" w:styleId="5">
    <w:name w:val="Body text|5"/>
    <w:basedOn w:val="1"/>
    <w:qFormat/>
    <w:uiPriority w:val="0"/>
    <w:pPr>
      <w:widowControl w:val="0"/>
      <w:shd w:val="clear" w:color="auto" w:fill="auto"/>
      <w:spacing w:after="140"/>
      <w:ind w:left="1300"/>
    </w:pPr>
    <w:rPr>
      <w:b/>
      <w:bCs/>
      <w:sz w:val="38"/>
      <w:szCs w:val="38"/>
      <w:u w:val="none"/>
      <w:shd w:val="clear" w:color="auto" w:fill="auto"/>
    </w:rPr>
  </w:style>
  <w:style w:type="paragraph" w:customStyle="1" w:styleId="6">
    <w:name w:val="Body text|4"/>
    <w:basedOn w:val="1"/>
    <w:qFormat/>
    <w:uiPriority w:val="0"/>
    <w:pPr>
      <w:widowControl w:val="0"/>
      <w:shd w:val="clear" w:color="auto" w:fill="auto"/>
      <w:spacing w:after="600"/>
      <w:ind w:firstLine="460"/>
    </w:pPr>
    <w:rPr>
      <w:rFonts w:ascii="MingLiU" w:hAnsi="MingLiU" w:eastAsia="MingLiU" w:cs="MingLiU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7">
    <w:name w:val="Body text|6"/>
    <w:basedOn w:val="1"/>
    <w:qFormat/>
    <w:uiPriority w:val="0"/>
    <w:pPr>
      <w:widowControl w:val="0"/>
      <w:shd w:val="clear" w:color="auto" w:fill="auto"/>
      <w:spacing w:after="2440"/>
      <w:jc w:val="center"/>
    </w:pPr>
    <w:rPr>
      <w:rFonts w:ascii="MingLiU" w:hAnsi="MingLiU" w:eastAsia="MingLiU" w:cs="MingLiU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8">
    <w:name w:val="Body text|3"/>
    <w:basedOn w:val="1"/>
    <w:qFormat/>
    <w:uiPriority w:val="0"/>
    <w:pPr>
      <w:widowControl w:val="0"/>
      <w:shd w:val="clear" w:color="auto" w:fill="auto"/>
      <w:spacing w:after="140"/>
      <w:ind w:firstLine="800"/>
    </w:pPr>
    <w:rPr>
      <w:rFonts w:ascii="MingLiU" w:hAnsi="MingLiU" w:eastAsia="MingLiU" w:cs="MingLiU"/>
      <w:u w:val="none"/>
      <w:shd w:val="clear" w:color="auto" w:fill="auto"/>
      <w:lang w:val="zh-TW" w:eastAsia="zh-TW" w:bidi="zh-TW"/>
    </w:rPr>
  </w:style>
  <w:style w:type="paragraph" w:customStyle="1" w:styleId="9">
    <w:name w:val="Body text|2"/>
    <w:basedOn w:val="1"/>
    <w:qFormat/>
    <w:uiPriority w:val="0"/>
    <w:pPr>
      <w:widowControl w:val="0"/>
      <w:shd w:val="clear" w:color="auto" w:fill="auto"/>
      <w:spacing w:after="350"/>
    </w:pPr>
    <w:rPr>
      <w:rFonts w:ascii="MingLiU" w:hAnsi="MingLiU" w:eastAsia="MingLiU" w:cs="MingLiU"/>
      <w:sz w:val="17"/>
      <w:szCs w:val="17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line="449" w:lineRule="auto"/>
    </w:pPr>
    <w:rPr>
      <w:b/>
      <w:bCs/>
      <w:sz w:val="16"/>
      <w:szCs w:val="16"/>
      <w:u w:val="none"/>
      <w:shd w:val="clear" w:color="auto" w:fill="auto"/>
      <w:lang w:val="zh-TW" w:eastAsia="zh-TW" w:bidi="zh-TW"/>
    </w:rPr>
  </w:style>
  <w:style w:type="paragraph" w:customStyle="1" w:styleId="11">
    <w:name w:val="Other|1"/>
    <w:basedOn w:val="1"/>
    <w:qFormat/>
    <w:uiPriority w:val="0"/>
    <w:pPr>
      <w:widowControl w:val="0"/>
      <w:shd w:val="clear" w:color="auto" w:fill="auto"/>
      <w:spacing w:line="480" w:lineRule="auto"/>
      <w:ind w:firstLine="400"/>
    </w:pPr>
    <w:rPr>
      <w:rFonts w:ascii="MingLiU" w:hAnsi="MingLiU" w:eastAsia="MingLiU" w:cs="MingLiU"/>
      <w:sz w:val="20"/>
      <w:szCs w:val="20"/>
      <w:u w:val="none"/>
      <w:shd w:val="clear" w:color="auto" w:fill="auto"/>
    </w:rPr>
  </w:style>
  <w:style w:type="paragraph" w:customStyle="1" w:styleId="12">
    <w:name w:val="Table caption|1"/>
    <w:basedOn w:val="1"/>
    <w:qFormat/>
    <w:uiPriority w:val="0"/>
    <w:pPr>
      <w:widowControl w:val="0"/>
      <w:shd w:val="clear" w:color="auto" w:fill="auto"/>
    </w:pPr>
    <w:rPr>
      <w:rFonts w:ascii="MingLiU" w:hAnsi="MingLiU" w:eastAsia="MingLiU" w:cs="MingLiU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13">
    <w:name w:val="Header or footer|2"/>
    <w:basedOn w:val="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662</Words>
  <Characters>737</Characters>
  <Lines>0</Lines>
  <Paragraphs>0</Paragraphs>
  <TotalTime>0</TotalTime>
  <ScaleCrop>false</ScaleCrop>
  <LinksUpToDate>false</LinksUpToDate>
  <CharactersWithSpaces>761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2019-11-25T03:36:00Z</dcterms:created>
  <dc:creator>蔡鲲鹏</dc:creator>
  <cp:lastModifiedBy>白白   13050470097</cp:lastModifiedBy>
  <dcterms:modified xsi:type="dcterms:W3CDTF">2022-08-31T03:35:52Z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KSORubyTemplateID" linkTarget="0">
    <vt:lpwstr>6</vt:lpwstr>
  </property>
  <property fmtid="{D5CDD505-2E9C-101B-9397-08002B2CF9AE}" pid="4" name="ICV">
    <vt:lpwstr>B21F90887E364B84A6341A1C888010F7</vt:lpwstr>
  </property>
</Properties>
</file>